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0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  <w:lang w:val="en-US" w:eastAsia="zh-CN"/>
        </w:rPr>
        <w:t>中心2019-2020年科研成果统计表</w:t>
      </w:r>
    </w:p>
    <w:p>
      <w:pPr>
        <w:spacing w:line="400" w:lineRule="exact"/>
        <w:ind w:firstLine="600" w:firstLineChars="200"/>
        <w:rPr>
          <w:rFonts w:hint="eastAsia"/>
          <w:lang w:val="en-US" w:eastAsia="zh-CN"/>
        </w:rPr>
      </w:pPr>
    </w:p>
    <w:tbl>
      <w:tblPr>
        <w:tblStyle w:val="8"/>
        <w:tblW w:w="10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520"/>
        <w:gridCol w:w="1843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潘勇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共享情境下服务提供商信任对重复使用的影响研究——技术信任的调节作用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潘勇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我国跨境电子商务政策分析：2012—2020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将经济枢纽转化为枢纽经济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省级报纸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新中国70年西北地区工业发展与政策评价——基于低碳经济的视角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中国省际交界区域城市发展研究——基于区域协调发展战略的视角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财政汲取能力影响公共服务供给吗?——基于财政分权和城镇化调节作用的空间检验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西北地区城市水资源利用效率时空演变及俱乐部趋同分析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新时代西部大开发的新格局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谷建全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高质量发展背景下国家自主创新示范区体制机制创新问题研究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朱金瑞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21世纪以来学术界关于道德资本研究争鸣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朱金瑞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当前我国企业伦理研究的热点及着力点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普惠金融、经济机会与减贫增收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农户参与农业价值链金融扶贫的行为分析——基于 SEM 模型的实证研究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脱实向虚背景下银行同业业务发展研究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危机修辞视域下的政府形象传播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以文化为引领推动大运河文化带建设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省级报纸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郭宏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新冠肺炎疫情下全球产业链重构趋势及中国应对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牛全保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文化消费支出决策:价值感知、参照群体影响和资源约束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陈晓景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新时期检察环境公益诉讼发展定位及优化进路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马珺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上市企业内部控制有效性评价实证检验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李彦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网络犯罪国际法律规则制定与中国方案研究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李彦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网络犯罪国际法律机制建构的困境与路径设计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卖空压力下资产误定价与企业资本投资研究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金融衍生工具与银行系统性风险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王洁洁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跨文化交往中入境旅游者外显态度与隐形偏见的实验比较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王洁洁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国内潜在游客媒介使用行为、信任与旅游行为意图的关系研究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环境保护责任共担的法治进路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土地流转中的环境规制研究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农地生态价值保护的刑法机制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农业绿色发展法律机制的建构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绿色原则在农地流转中的贯彻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韩亚峰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绿色创新的环境绩效研究——基于空间溢出和回弹效应的检验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韩亚峰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金融安全视角下不良资产形成机理研究——经济转型还是企业骗贷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韩亚峰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环境不确定情境下组织惯例更新的前因与后果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韩亚峰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技术来源、空间溢出与创新价值链提升:协同抑或挤占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韩亚峰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Regular" w:hAnsi="Times New Roman Regular" w:eastAsia="仿宋" w:cs="Times New Roman Regular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自主研发、外部技术获取与创新价值链攀升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CSSCI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朱金瑞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新时代中国特色社会主义道德建设研究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朱金瑞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中国企业伦理学 70 年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李冻菊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贫困经济学：历史、测度和政策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生态保护优先原则及其法律制度因应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牛全保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文化基因的品牌镌刻——梦祥品牌文化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会计学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财务管理学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潘勇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中国跨境电商发展报告（2020）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潘勇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跨境电子商务物流管理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吕连琴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旅行社经营管理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资产误定价与系统性金融风险平滑性释放研究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公司综合信息透明度的经济效果研究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著作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陈晓景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生态补偿法律制度研究----以南水北调中线工程沿线为例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网络舆情平抑的修辞策略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河南省宏观经济形势分析与预测：2011-2020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普惠金融、经济机会与减贫增收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脱虚向实背景下银行同业业务发展研究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财务管理学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王洁洁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国际关系与出入境旅游：影响机制与案例研究</w:t>
            </w:r>
          </w:p>
        </w:tc>
        <w:tc>
          <w:tcPr>
            <w:tcW w:w="184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安磊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新形势下河南乡村旅游高质量发展研究</w:t>
            </w:r>
          </w:p>
        </w:tc>
        <w:tc>
          <w:tcPr>
            <w:tcW w:w="1843" w:type="dxa"/>
            <w:vAlign w:val="bottom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马珺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中国传统管理智慧在现代企业管理中的应用研究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郭宏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河南自贸试验区协同治理机制优化研究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陈晓景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黄河流域生态保护和高质量发展法律制度研究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陈晓景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南水北调工程生态系统保护法律制度创新研究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陈晓景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促进绿色转型的企业环保信用评价制度研究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绿色制造视角下中国OFDI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全球价值链嵌入的碳减排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效应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全球价值链视阈下制造业技术进步偏向的碳减排机制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河南省促进科技服务业发展的政策优化研究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面向2035年和“十四五”河南省现代服务业科技发展战略研究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产业绿色技术创新推动河南经济高质量发展研究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制造业全球价值链嵌入的碳减排机制研究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省部级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全球价值链视阈下制造业技术进步偏向的碳减排机制及政策研究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制造业全球价值链嵌入的碳减排机制研究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基于创新驱动的我省经济增长质量提升研究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郑州制造业全球价值链分工地位提升研究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李新安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郑州国家中心城市建设的创新能力提升路径研究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基于河南省情的事业单位成本核算应用研究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文旅融合背景下的大运河文化带建设研究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薛玉莲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基于河南省高质量发展的产业技术创新能力提升对策研究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社会治理视域下的“可沟通乡村”建设研究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“中华源-老家河南”品牌培育问题研究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方雪琴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河南大运河文旅品牌形象传播研究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李冻菊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超越GDP:对经济表现和社会进步衡量标准的探索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李冻菊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绿色经济测度：方法与实践探索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李冻菊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新时代调整优化我国收入分配格局研究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李冻菊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高质量发展视角下福利的测度研究与实证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河南省科技型中小企业金融支持模式创新研究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郑秀峰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河南省科技型企业发展中的金融对接创新路径研究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高新才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河南企业技术创新推动经济高质量发展的对策研究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刘定平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河南省企业资产结构与企业发展能力的关系研究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朱金瑞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十八大以来中国特色社会主义道德建设研究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王洁洁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从“日常生活”到“国家关系”：中国出境旅游国际政治效应的发生机理、测评体系及动态评估研究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王洁洁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“一带一路”背景下中国出境旅游的国际政治影响力研究——以东盟为例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黄河流域生态环境治理信息披露与企业高质量发展研究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张肖飞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高质量发展视域下公司治理效率提升研究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地厅级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李嵩誉</w:t>
            </w:r>
          </w:p>
        </w:tc>
        <w:tc>
          <w:tcPr>
            <w:tcW w:w="652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农村土地经营权流转环境法律规制研究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firstLine="600" w:firstLineChars="2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3"/>
    <w:rsid w:val="00046D88"/>
    <w:rsid w:val="0006354B"/>
    <w:rsid w:val="000672CF"/>
    <w:rsid w:val="000801B1"/>
    <w:rsid w:val="000A56C9"/>
    <w:rsid w:val="000E4145"/>
    <w:rsid w:val="000F0CF4"/>
    <w:rsid w:val="00132FBE"/>
    <w:rsid w:val="00136D72"/>
    <w:rsid w:val="001E2FEA"/>
    <w:rsid w:val="0024013B"/>
    <w:rsid w:val="00242B74"/>
    <w:rsid w:val="002442FB"/>
    <w:rsid w:val="00254AD0"/>
    <w:rsid w:val="002C0570"/>
    <w:rsid w:val="003224C7"/>
    <w:rsid w:val="003452E8"/>
    <w:rsid w:val="003B126A"/>
    <w:rsid w:val="003C5B4D"/>
    <w:rsid w:val="003D5AF8"/>
    <w:rsid w:val="003E367A"/>
    <w:rsid w:val="00454A15"/>
    <w:rsid w:val="0050635C"/>
    <w:rsid w:val="005A44C7"/>
    <w:rsid w:val="006072D8"/>
    <w:rsid w:val="00675822"/>
    <w:rsid w:val="006E5193"/>
    <w:rsid w:val="007559E9"/>
    <w:rsid w:val="007940C8"/>
    <w:rsid w:val="007C0F61"/>
    <w:rsid w:val="00826164"/>
    <w:rsid w:val="008936E0"/>
    <w:rsid w:val="008D11C4"/>
    <w:rsid w:val="008E5788"/>
    <w:rsid w:val="00915B5C"/>
    <w:rsid w:val="00916D24"/>
    <w:rsid w:val="00965E96"/>
    <w:rsid w:val="00A570C1"/>
    <w:rsid w:val="00A60989"/>
    <w:rsid w:val="00A83131"/>
    <w:rsid w:val="00AA4791"/>
    <w:rsid w:val="00AB5371"/>
    <w:rsid w:val="00AC68E3"/>
    <w:rsid w:val="00B75769"/>
    <w:rsid w:val="00B863C7"/>
    <w:rsid w:val="00C11A26"/>
    <w:rsid w:val="00C219C9"/>
    <w:rsid w:val="00CC5881"/>
    <w:rsid w:val="00CC7853"/>
    <w:rsid w:val="00D34084"/>
    <w:rsid w:val="00DD6028"/>
    <w:rsid w:val="00E02C9A"/>
    <w:rsid w:val="00E2317B"/>
    <w:rsid w:val="00E473E5"/>
    <w:rsid w:val="00EA038D"/>
    <w:rsid w:val="00ED17B6"/>
    <w:rsid w:val="00F074A1"/>
    <w:rsid w:val="00F54C4D"/>
    <w:rsid w:val="00FB11F6"/>
    <w:rsid w:val="00FC7451"/>
    <w:rsid w:val="017E62EB"/>
    <w:rsid w:val="030208C0"/>
    <w:rsid w:val="07880364"/>
    <w:rsid w:val="099145B0"/>
    <w:rsid w:val="0A213E31"/>
    <w:rsid w:val="0CC947E8"/>
    <w:rsid w:val="0F530ABE"/>
    <w:rsid w:val="12196975"/>
    <w:rsid w:val="12345D0B"/>
    <w:rsid w:val="17CE4DB9"/>
    <w:rsid w:val="18EC7AA0"/>
    <w:rsid w:val="1E3C1F79"/>
    <w:rsid w:val="1FFB87DE"/>
    <w:rsid w:val="207B4558"/>
    <w:rsid w:val="244D019C"/>
    <w:rsid w:val="24CB12A9"/>
    <w:rsid w:val="25A271E3"/>
    <w:rsid w:val="29B32E91"/>
    <w:rsid w:val="2BB670B4"/>
    <w:rsid w:val="36C669EB"/>
    <w:rsid w:val="3B611B15"/>
    <w:rsid w:val="3BDF312B"/>
    <w:rsid w:val="3DF15A2C"/>
    <w:rsid w:val="3EF3F10B"/>
    <w:rsid w:val="3F9107C6"/>
    <w:rsid w:val="429A20B9"/>
    <w:rsid w:val="42AB5F09"/>
    <w:rsid w:val="43A37544"/>
    <w:rsid w:val="44962BF9"/>
    <w:rsid w:val="47C3651B"/>
    <w:rsid w:val="4A3D256B"/>
    <w:rsid w:val="4B8D0ADE"/>
    <w:rsid w:val="50E52106"/>
    <w:rsid w:val="52067CAA"/>
    <w:rsid w:val="521D7ABF"/>
    <w:rsid w:val="533FF8CC"/>
    <w:rsid w:val="557E4479"/>
    <w:rsid w:val="56151DE0"/>
    <w:rsid w:val="57FC121D"/>
    <w:rsid w:val="58F77F4D"/>
    <w:rsid w:val="5A4B6758"/>
    <w:rsid w:val="5ADB1AEC"/>
    <w:rsid w:val="5AEF058C"/>
    <w:rsid w:val="5B7E96C8"/>
    <w:rsid w:val="5C35482F"/>
    <w:rsid w:val="5C90455E"/>
    <w:rsid w:val="5FD21F68"/>
    <w:rsid w:val="629759FC"/>
    <w:rsid w:val="63516FA6"/>
    <w:rsid w:val="67B35C92"/>
    <w:rsid w:val="67BF3D6F"/>
    <w:rsid w:val="68360E80"/>
    <w:rsid w:val="6DAC017A"/>
    <w:rsid w:val="73EF2B98"/>
    <w:rsid w:val="757C01DD"/>
    <w:rsid w:val="76A75DBA"/>
    <w:rsid w:val="76E2074B"/>
    <w:rsid w:val="7BF102AA"/>
    <w:rsid w:val="7C72520E"/>
    <w:rsid w:val="7D5A1838"/>
    <w:rsid w:val="83B70F97"/>
    <w:rsid w:val="ADFE36BC"/>
    <w:rsid w:val="BDCFB4EA"/>
    <w:rsid w:val="BFBF0E40"/>
    <w:rsid w:val="BFF78B23"/>
    <w:rsid w:val="D7BF5E5A"/>
    <w:rsid w:val="EF7FCB30"/>
    <w:rsid w:val="F77D555E"/>
    <w:rsid w:val="F7F65778"/>
    <w:rsid w:val="FA6E8F8E"/>
    <w:rsid w:val="FDC35291"/>
    <w:rsid w:val="FE5FAA35"/>
    <w:rsid w:val="FF2FD5CA"/>
    <w:rsid w:val="FFDBCBD0"/>
    <w:rsid w:val="FF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29</Pages>
  <Words>3391</Words>
  <Characters>19333</Characters>
  <Lines>161</Lines>
  <Paragraphs>45</Paragraphs>
  <TotalTime>1</TotalTime>
  <ScaleCrop>false</ScaleCrop>
  <LinksUpToDate>false</LinksUpToDate>
  <CharactersWithSpaces>22679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2021-02-25T08:19:00Z</dcterms:created>
  <dc:creator>AutoBVT</dc:creator>
  <cp:lastModifiedBy>刘艳伟</cp:lastModifiedBy>
  <cp:lastPrinted>2021-03-24T00:47:00Z</cp:lastPrinted>
  <dcterms:modified xsi:type="dcterms:W3CDTF">2021-07-08T07:32:58Z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AB3601BBD1AF44FAB2C0EEEA1F7F9C54</vt:lpwstr>
  </property>
</Properties>
</file>